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B163" w14:textId="18F3FD5B" w:rsidR="007E3EF4" w:rsidRDefault="00CC7A08">
      <w:pPr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NALC LTN Updates for 2022</w:t>
      </w:r>
    </w:p>
    <w:p w14:paraId="634B4F58" w14:textId="5B2FC127" w:rsidR="00CC7A08" w:rsidRDefault="00CC7A08">
      <w:pPr>
        <w:rPr>
          <w:rFonts w:cs="Arial"/>
          <w:szCs w:val="24"/>
        </w:rPr>
      </w:pPr>
    </w:p>
    <w:p w14:paraId="6E0293C2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5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05E | Parish Council Meetings [England] (October 2022)</w:t>
        </w:r>
      </w:hyperlink>
    </w:p>
    <w:p w14:paraId="73EB6F7C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Style w:val="whitespacepreserver"/>
        </w:rPr>
      </w:pPr>
      <w:hyperlink r:id="rId6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 xml:space="preserve">07 | </w:t>
        </w:r>
        <w:proofErr w:type="gramStart"/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Non-councillor</w:t>
        </w:r>
        <w:proofErr w:type="gramEnd"/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 xml:space="preserve"> members of committees (July 2022)</w:t>
        </w:r>
      </w:hyperlink>
    </w:p>
    <w:p w14:paraId="2A20EB8C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</w:pPr>
      <w:hyperlink r:id="rId7" w:history="1">
        <w:r>
          <w:rPr>
            <w:rStyle w:val="Hyperlink"/>
            <w:rFonts w:ascii="Arial" w:hAnsi="Arial" w:cs="Arial"/>
            <w:color w:val="189440"/>
            <w:sz w:val="24"/>
            <w:szCs w:val="24"/>
          </w:rPr>
          <w:t>08 | Elections and co-option (July 2022)</w:t>
        </w:r>
      </w:hyperlink>
    </w:p>
    <w:p w14:paraId="4BF92B4E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8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09E | Handling Complaints [England] (October 2022)</w:t>
        </w:r>
      </w:hyperlink>
    </w:p>
    <w:p w14:paraId="30FF3A2F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9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13 | Policing your area (December 2022)</w:t>
        </w:r>
      </w:hyperlink>
    </w:p>
    <w:p w14:paraId="4A67F7AA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0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28 | Basic Charity Law (February 2022)</w:t>
        </w:r>
      </w:hyperlink>
    </w:p>
    <w:p w14:paraId="1194FF64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1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31 | Local council general powers (March 2022)</w:t>
        </w:r>
      </w:hyperlink>
    </w:p>
    <w:p w14:paraId="1C164F82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2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40 | Local council documents and records (August 2022)</w:t>
        </w:r>
      </w:hyperlink>
    </w:p>
    <w:p w14:paraId="1EF50033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3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54 | Protection of ownerless common land (November 2022)</w:t>
        </w:r>
      </w:hyperlink>
    </w:p>
    <w:p w14:paraId="3815736D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4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80 | Members' conduct and the registration and disclosure of their interests [England] (May 2022)</w:t>
        </w:r>
      </w:hyperlink>
    </w:p>
    <w:p w14:paraId="29FA00B4" w14:textId="77777777" w:rsid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Fonts w:ascii="Arial" w:hAnsi="Arial" w:cs="Arial"/>
          <w:color w:val="002A54"/>
          <w:sz w:val="24"/>
          <w:szCs w:val="24"/>
        </w:rPr>
      </w:pPr>
      <w:hyperlink r:id="rId15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87 | Procurement (March 2022)</w:t>
        </w:r>
      </w:hyperlink>
    </w:p>
    <w:p w14:paraId="5211DB5F" w14:textId="76F9C6A3" w:rsidR="00CC7A08" w:rsidRPr="00CC7A08" w:rsidRDefault="00CC7A08" w:rsidP="00CC7A08">
      <w:pPr>
        <w:pStyle w:val="moduledocument"/>
        <w:numPr>
          <w:ilvl w:val="0"/>
          <w:numId w:val="1"/>
        </w:numPr>
        <w:shd w:val="clear" w:color="auto" w:fill="FFFFFF"/>
        <w:spacing w:after="120" w:afterAutospacing="0" w:line="360" w:lineRule="atLeast"/>
        <w:rPr>
          <w:rStyle w:val="Hyperlink"/>
          <w:rFonts w:ascii="Arial" w:hAnsi="Arial"/>
          <w:color w:val="267BA6"/>
          <w:sz w:val="24"/>
        </w:rPr>
      </w:pPr>
      <w:hyperlink r:id="rId16" w:history="1">
        <w:r>
          <w:rPr>
            <w:rStyle w:val="Hyperlink"/>
            <w:rFonts w:ascii="Arial" w:hAnsi="Arial" w:cs="Arial"/>
            <w:color w:val="267BA6"/>
            <w:sz w:val="24"/>
            <w:szCs w:val="24"/>
          </w:rPr>
          <w:t>89 | Sustainable energy and electric vehicle charging (March 2022)</w:t>
        </w:r>
      </w:hyperlink>
    </w:p>
    <w:sectPr w:rsidR="00CC7A08" w:rsidRPr="00CC7A08" w:rsidSect="007E3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EE5"/>
    <w:multiLevelType w:val="multilevel"/>
    <w:tmpl w:val="CB72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08"/>
    <w:rsid w:val="001B4A1F"/>
    <w:rsid w:val="002F0228"/>
    <w:rsid w:val="0030250A"/>
    <w:rsid w:val="00484047"/>
    <w:rsid w:val="00597F74"/>
    <w:rsid w:val="00652CD2"/>
    <w:rsid w:val="007A24D7"/>
    <w:rsid w:val="007E3EF4"/>
    <w:rsid w:val="008071B2"/>
    <w:rsid w:val="008155E4"/>
    <w:rsid w:val="00BD384E"/>
    <w:rsid w:val="00CB4E25"/>
    <w:rsid w:val="00CC7A08"/>
    <w:rsid w:val="00CF248B"/>
    <w:rsid w:val="00D26C7F"/>
    <w:rsid w:val="00E32BE6"/>
    <w:rsid w:val="00EA6435"/>
    <w:rsid w:val="00EE153E"/>
    <w:rsid w:val="00F6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182F"/>
  <w15:chartTrackingRefBased/>
  <w15:docId w15:val="{EFF71CB7-9DFF-462C-AD5D-7E8BD186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7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BE6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BE6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2BE6"/>
    <w:pPr>
      <w:keepNext/>
      <w:keepLines/>
      <w:spacing w:before="40"/>
      <w:outlineLvl w:val="2"/>
    </w:pPr>
    <w:rPr>
      <w:rFonts w:ascii="Calibri" w:eastAsiaTheme="majorEastAsia" w:hAnsi="Calibr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BE6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4A1F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32BE6"/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2BE6"/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2BE6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BE6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BE6"/>
    <w:pPr>
      <w:numPr>
        <w:ilvl w:val="1"/>
      </w:numPr>
      <w:spacing w:after="160"/>
    </w:pPr>
    <w:rPr>
      <w:rFonts w:ascii="Calibri" w:eastAsiaTheme="minorEastAsia" w:hAnsi="Calibr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2BE6"/>
    <w:rPr>
      <w:rFonts w:ascii="Calibri" w:eastAsiaTheme="minorEastAsia" w:hAnsi="Calibr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1B4A1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B4A1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B4A1F"/>
    <w:rPr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E32BE6"/>
    <w:rPr>
      <w:rFonts w:ascii="Calibri" w:eastAsiaTheme="majorEastAsia" w:hAnsi="Calibr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BE6"/>
    <w:rPr>
      <w:rFonts w:ascii="Calibri" w:eastAsiaTheme="majorEastAsia" w:hAnsi="Calibri" w:cstheme="majorBidi"/>
      <w:i/>
      <w:iCs/>
      <w:color w:val="365F91" w:themeColor="accent1" w:themeShade="BF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CC7A08"/>
    <w:rPr>
      <w:color w:val="0000FF" w:themeColor="hyperlink"/>
      <w:u w:val="single"/>
    </w:rPr>
  </w:style>
  <w:style w:type="paragraph" w:customStyle="1" w:styleId="moduledocument">
    <w:name w:val="module_document"/>
    <w:basedOn w:val="Normal"/>
    <w:rsid w:val="00CC7A08"/>
    <w:pPr>
      <w:spacing w:before="100" w:beforeAutospacing="1" w:after="100" w:afterAutospacing="1"/>
    </w:pPr>
    <w:rPr>
      <w:rFonts w:ascii="Calibri" w:eastAsia="Times New Roman" w:hAnsi="Calibri" w:cs="Calibri"/>
      <w:sz w:val="22"/>
      <w:lang w:eastAsia="en-GB"/>
    </w:rPr>
  </w:style>
  <w:style w:type="character" w:customStyle="1" w:styleId="whitespacepreserver">
    <w:name w:val="whitespace_preserver"/>
    <w:basedOn w:val="DefaultParagraphFont"/>
    <w:rsid w:val="00CC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c.gov.uk/library/members-library/legal-topic-notes/all-legal-topic-notes/711-9e-handling-complaints-england-1" TargetMode="External"/><Relationship Id="rId13" Type="http://schemas.openxmlformats.org/officeDocument/2006/relationships/hyperlink" Target="https://www.nalc.gov.uk/library/members-library/legal-topic-notes/all-legal-topic-notes/686-54-protection-of-ownerless-common-land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lc.gov.uk/library/members-library/legal-topic-notes/all-legal-topic-notes/1399-08-elections-1" TargetMode="External"/><Relationship Id="rId12" Type="http://schemas.openxmlformats.org/officeDocument/2006/relationships/hyperlink" Target="https://www.nalc.gov.uk/library/members-library/legal-topic-notes/all-legal-topic-notes/703-40-local-councils-documents-and-records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lc.gov.uk/library/members-library/legal-topic-notes/all-legal-topic-notes/3690-ltn-89-sustainable-energy-and-electric-vehicle-charging-march-2022-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alc.gov.uk/library/members-library/legal-topic-notes/all-legal-topic-notes/706-7-non-councillor-members-of-committees-1" TargetMode="External"/><Relationship Id="rId11" Type="http://schemas.openxmlformats.org/officeDocument/2006/relationships/hyperlink" Target="https://www.nalc.gov.uk/library/members-library/legal-topic-notes/all-legal-topic-notes/1937-31-section-137-of-the-local-government-act-1972-march-2016" TargetMode="External"/><Relationship Id="rId5" Type="http://schemas.openxmlformats.org/officeDocument/2006/relationships/hyperlink" Target="https://www.nalc.gov.uk/library/members-library/legal-topic-notes/all-legal-topic-notes/3619-05e-parish-council-meetings-england-november-2021" TargetMode="External"/><Relationship Id="rId15" Type="http://schemas.openxmlformats.org/officeDocument/2006/relationships/hyperlink" Target="https://www.nalc.gov.uk/library/members-library/legal-topic-notes/all-legal-topic-notes/1857-87-procurement-january-2016" TargetMode="External"/><Relationship Id="rId10" Type="http://schemas.openxmlformats.org/officeDocument/2006/relationships/hyperlink" Target="https://www.nalc.gov.uk/library/members-library/legal-topic-notes/all-legal-topic-notes/683-28-basic-charity-law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c.gov.uk/library/members-library/legal-topic-notes/all-legal-topic-notes/713-13-policing-your-area-1" TargetMode="External"/><Relationship Id="rId14" Type="http://schemas.openxmlformats.org/officeDocument/2006/relationships/hyperlink" Target="https://www.nalc.gov.uk/library/members-library/legal-topic-notes/all-legal-topic-notes/684-80-members-conduct-and-the-registration-and-disclosure-of-their-interests-england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Woof</dc:creator>
  <cp:keywords/>
  <dc:description/>
  <cp:lastModifiedBy>Melinda Woof</cp:lastModifiedBy>
  <cp:revision>1</cp:revision>
  <dcterms:created xsi:type="dcterms:W3CDTF">2022-12-22T08:51:00Z</dcterms:created>
  <dcterms:modified xsi:type="dcterms:W3CDTF">2022-12-22T09:01:00Z</dcterms:modified>
</cp:coreProperties>
</file>